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RBEG 2017 — Abgrenzung der Referenzgruppen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Die nach dem Ausschluss von Haushalten nach § 3 verbleibenden Haushalte werden je Haushaltstyp nach § 2 Satz 1 Nummer 1 und 2 nach ihrem Nettoeinkommen aufsteigend geschichtet. Als Referenzhaushalte werden berücksichtigt:</w:t>
      </w:r>
    </w:p>
    <w:p>
      <w:pPr>
        <w:ind w:left="420"/>
      </w:pPr>
      <w:r>
        <w:t xml:space="preserve">1. von den Einpersonenhaushalten die unteren 15 Prozent der Haushalte und</w:t>
      </w:r>
    </w:p>
    <w:p>
      <w:pPr>
        <w:ind w:left="420"/>
      </w:pPr>
      <w:r>
        <w:t xml:space="preserve">2. von den Familienhaushalten jeweils die unteren 20 Prozent der Haushalte.</w:t>
      </w:r>
    </w:p>
    <w:p>
      <w:r>
        <w:t xml:space="preserve">(2) Die Referenzhaushalte eines Haushaltstyps bilden jeweils eine Referenzgruppe.</w:t>
      </w:r>
    </w:p>
    <w:p>
      <w:r>
        <w:rPr>
          <w:color w:val="555555"/>
          <w:sz w:val="17"/>
        </w:rPr>
        <w:t xml:space="preserve">Zitiervorschlag: § 4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