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 RBBSTV_G_2002 (Brandenburg) — Außer-Kraft-Treten des ORB-Gesetzes</w:t>
      </w:r>
    </w:p>
    <w:p>
      <w:r>
        <w:rPr>
          <w:color w:val="555555"/>
          <w:sz w:val="18"/>
        </w:rPr>
        <w:t xml:space="preserve">Gesetz zu dem Staatsvertrag über die Errichtung einer gemeinsamen Rundfunkanstalt der Länder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Vorbehaltlich des In-Kraft-Tretens des Staatsvertrages tritt mit dem Amtsantritt des Intendanten oder der Intendantin des Rundfunk Berlin-Brandenburg, spätestens jedoch am 1. Juni 2003, das ORB-Gesetz in der Fassung der Bekanntmachung vom 17. August 1999 (GVBl. I S. 400), geändert durch Gesetz vom 9. Juli 2001 (GVBl. I S. 98), außer Kraft.</w:t>
      </w:r>
    </w:p>
    <w:p>
      <w:r>
        <w:t xml:space="preserve">(2) Der Zeitpunkt des Außer-Kraft-Tretens ist im Gesetz- und Verordnungsblatt Teil I bekannt zu geben.</w:t>
      </w:r>
    </w:p>
    <w:p>
      <w:r>
        <w:rPr>
          <w:color w:val="555555"/>
          <w:sz w:val="17"/>
        </w:rPr>
        <w:t xml:space="preserve">Zitiervorschlag: Art 2 RBBSTV_G_2002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https://recht.nulegal.eu/gesetze/RBBSTV_G_2002/2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