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RAZEignPrV — Prüfungsleistungen</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(1) Die Aufsichtsarbeiten haben Aufgaben aus der beruflichen Praxis eines Rechtsanwalts zum Gegenstand. Die Bearbeitungszeit für eine Aufsichtsarbeit beträgt fünf Stunden.</w:t>
      </w:r>
    </w:p>
    <w:p>
      <w:r>
        <w:t xml:space="preserve">(2) Die Gegenstände des Kurzvortrags und des Prüfungsgesprächs sind der beruflichen Praxis eines Rechtsanwalts zu entnehmen. Die Vorbereitungszeit für den Kurzvortrag beträgt zwei Stunden. Für jeden Prüfungsteilnehmer beträgt die Dauer des Prüfungsgesprächs etwa fünfundvierzig, die Dauer des Kurzvortrags etwa fünfzehn Minuten.</w:t>
      </w:r>
    </w:p>
    <w:p>
      <w:r>
        <w:rPr>
          <w:color w:val="555555"/>
          <w:sz w:val="17"/>
        </w:rPr>
        <w:t xml:space="preserve">Zitiervorschlag: § 7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