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RAZEignPrV — Inkrafttreten</w:t>
      </w:r>
    </w:p>
    <w:p>
      <w:r>
        <w:rPr>
          <w:color w:val="555555"/>
          <w:sz w:val="18"/>
        </w:rPr>
        <w:t xml:space="preserve">Verordnung über die Eignungsprüfung für die Zulassung zur Rechtsanwaltschaft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1991 in Kraft.</w:t>
      </w:r>
    </w:p>
    <w:p>
      <w:r>
        <w:rPr>
          <w:color w:val="555555"/>
          <w:sz w:val="17"/>
        </w:rPr>
        <w:t xml:space="preserve">Zitiervorschlag: § 14 RAZEignPrV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https://recht.nulegal.eu/gesetze/RAZEignPrV/14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