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RAZEignPrV — Ordnungswidriges Verhalten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Folgen eines ordnungswidrigen Verhaltens des Antragstellers, namentlich eines Täuschungsversuchs, entscheidet das Prüfungsamt.</w:t>
      </w:r>
    </w:p>
    <w:p>
      <w:r>
        <w:t xml:space="preserve">(2) Versucht der Antragsteller, das Ergebnis einer Aufsichtsarbeit durch Täuschung zu beeinflussen, ist die Arbeit als mißlungen zu bewerten. In schweren Fällen wird die Prüfung für nicht bestanden erklärt.</w:t>
      </w:r>
    </w:p>
    <w:p>
      <w:r>
        <w:t xml:space="preserve">(3) Versucht der Antragsteller, das Ergebnis einer mündlichen Prüfung durch Täuschung zu beeinflussen, ist die mündliche Prüfung zu wiederholen. In schweren Fällen wird die Prüfung für nicht bestanden erklärt.</w:t>
      </w:r>
    </w:p>
    <w:p>
      <w:r>
        <w:t xml:space="preserve">(4) Die Prüfung kann nur innerhalb einer Frist von fünf Jahren seit dem Tag der mündlichen Prüfung für nicht bestanden erklärt werden.</w:t>
      </w:r>
    </w:p>
    <w:p>
      <w:r>
        <w:rPr>
          <w:color w:val="555555"/>
          <w:sz w:val="17"/>
        </w:rPr>
        <w:t xml:space="preserve">Zitiervorschlag: § 10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