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RAVPV</w:t>
      </w:r>
    </w:p>
    <w:p>
      <w:r>
        <w:rPr>
          <w:color w:val="555555"/>
          <w:sz w:val="18"/>
        </w:rPr>
        <w:t xml:space="preserve">Rechtsanwaltsverzeichnis- und -postfachverordnung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31c der Bundesrechtsanwaltsordnung in Verbindung mit</w:t>
      </w:r>
    </w:p>
    <w:p>
      <w:pPr>
        <w:ind w:left="420"/>
      </w:pPr>
      <w:r>
        <w:t xml:space="preserve">– den §§ 31 bis 31b der Bundesrechtsanwaltsordnung, die durch Artikel 1 Nummer 1 des Gesetzes vom 21. Dezember 2015 (BGBl. I S. 2517) geändert worden sind,</w:t>
      </w:r>
    </w:p>
    <w:p>
      <w:pPr>
        <w:ind w:left="420"/>
      </w:pPr>
      <w:r>
        <w:t xml:space="preserve">– § 207 Absatz 2 Satz 1 der Bundesrechtsanwaltsordnung, der zuletzt durch Artikel 1 Nummer 63 Buchstabe b des Gesetzes vom 30. Juli 2009 (BGBl. I S. 2449) geändert worden ist,</w:t>
      </w:r>
    </w:p>
    <w:p>
      <w:pPr>
        <w:ind w:left="420"/>
      </w:pPr>
      <w:r>
        <w:t xml:space="preserve">– § 209 Absatz 1 Satz 3 der Bundesrechtsanwaltsordnung, der zuletzt durch Artikel 1 Nummer 66 Buchstabe a des Gesetzes vom 30. Juli 2009 (BGBl. I S. 2449) geändert worden ist, sowie</w:t>
      </w:r>
    </w:p>
    <w:p>
      <w:pPr>
        <w:ind w:left="420"/>
      </w:pPr>
      <w:r>
        <w:t xml:space="preserve">– § 6 Absatz 1 des Gesetzes über die Tätigkeit europäischer Rechtsanwälte in Deutschland, der durch Artikel 2 Nummer 3 des Gesetzes vom 21. Dezember 2015 (BGBl. I S. 2517) geändert worden ist,</w:t>
      </w:r>
    </w:p>
    <w:p>
      <w:r>
        <w:t xml:space="preserve">verordnet das Bundesministerium der Justiz und für Verbraucherschutz:</w:t>
      </w:r>
    </w:p>
    <w:p>
      <w:r>
        <w:rPr>
          <w:color w:val="555555"/>
          <w:sz w:val="17"/>
        </w:rPr>
        <w:t xml:space="preserve">Zitiervorschlag: Eingangsformel RAVPV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https://recht.nulegal.eu/gesetze/RAVPV/eingangsformel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