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RAVPV — Führung des Gesamtverzeichnisses</w:t>
      </w:r>
    </w:p>
    <w:p>
      <w:r>
        <w:rPr>
          <w:color w:val="555555"/>
          <w:sz w:val="18"/>
        </w:rPr>
        <w:t xml:space="preserve">Rechtsanwaltsverzeichnis- und -postfachverordnung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Bundesrechtsanwaltskammer führt ein elektronisches Gesamtverzeichnis aller in den Verzeichnissen der Rechtsanwaltskammern eingetragenen Personen und Berufsausübungsgesellschaften. Es trägt die Bezeichnung „Bundesweites Amtliches Anwaltsverzeichnis“.</w:t>
      </w:r>
    </w:p>
    <w:p>
      <w:r>
        <w:rPr>
          <w:color w:val="555555"/>
          <w:sz w:val="17"/>
        </w:rPr>
        <w:t xml:space="preserve">Zitiervorschlag: § 9 RAVPV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https://recht.nulegal.eu/gesetze/RAVPV/9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