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RAVPV — Einsichtnahme in das Verzeichnis</w:t>
      </w:r>
    </w:p>
    <w:p>
      <w:r>
        <w:rPr>
          <w:color w:val="555555"/>
          <w:sz w:val="18"/>
        </w:rPr>
        <w:t xml:space="preserve">Rechtsanwaltsverzeichnis- und -postfachverordnung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Einsichtnahme in das Verzeichnis der Rechtsanwaltskammer ist ausschließlich über das Internet möglich. Eine Einsichtnahme muss jederzeit kostenfrei und ohne vorherige Registrierung möglich sein.</w:t>
      </w:r>
    </w:p>
    <w:p>
      <w:r>
        <w:t xml:space="preserve">(2) Eine anstelle der Kanzleianschrift in das Verzeichnis eingetragene zustellfähige Anschrift ist nicht einsehbar.</w:t>
      </w:r>
    </w:p>
    <w:p>
      <w:r>
        <w:t xml:space="preserve">(3) Eintragungen nach § 1 Absatz 1 Satz 2 Nummer 4 sind nicht einsehbar.</w:t>
      </w:r>
    </w:p>
    <w:p>
      <w:r>
        <w:t xml:space="preserve">(4) Die Ausgestaltung der Möglichkeit zur Einsichtnahme soll die Anforderungen der Barrierefreiheit im Sinne der Barrierefreie-Informationstechnik-Verordnung berücksichtigen.</w:t>
      </w:r>
    </w:p>
    <w:p>
      <w:r>
        <w:rPr>
          <w:color w:val="555555"/>
          <w:sz w:val="17"/>
        </w:rPr>
        <w:t xml:space="preserve">Zitiervorschlag: § 6 RAVPV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https://recht.nulegal.eu/gesetze/RAVPV/6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