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RAVPV — Berichtigungen des Verzeichnisses</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Stellt die Rechtsanwaltskammer fest, dass Eintragungen in ihrem Verzeichnis unrichtig oder unvollständig sind, hat sie diese unverzüglich zu berichtigen. Insbesondere sind nicht mehr bestehende Berufs-, Berufsausübungs- oder Vertretungsverbote unverzüglich aus dem Verzeichnis zu löschen. Bestehen Zweifel an der Richtigkeit oder Vollständigkeit des Verzeichnisses, hat die Rechtsanwaltskammer Auskünfte einzuholen und gegebenenfalls die Vorlage von Nachweisen durch die eingetragene Person oder Berufsausübungsgesellschaft zu verlangen.</w:t>
      </w:r>
    </w:p>
    <w:p>
      <w:r>
        <w:t xml:space="preserve">(2) Stellt eine andere Rechtsanwaltskammer oder die Bundesrechtsanwaltskammer Umstände fest, die die Unrichtigkeit oder Unvollständigkeit eines von einer Rechtsanwaltskammer geführten Verzeichnisses nahelegen, unterrichtet sie die für die Führung des Verzeichnisses zuständige Rechtsanwaltskammer hiervon.</w:t>
      </w:r>
    </w:p>
    <w:p>
      <w:r>
        <w:rPr>
          <w:color w:val="555555"/>
          <w:sz w:val="17"/>
        </w:rPr>
        <w:t xml:space="preserve">Zitiervorschlag: § 4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