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RAVPV — Inkrafttreten</w:t>
      </w:r>
    </w:p>
    <w:p>
      <w:r>
        <w:rPr>
          <w:color w:val="555555"/>
          <w:sz w:val="18"/>
        </w:rPr>
        <w:t xml:space="preserve">Rechtsanwaltsverzeichnis- und -postfachverordnung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vorbehaltlich des Absatzes 2 am Tag nach der Verkündung in Kraft.</w:t>
      </w:r>
    </w:p>
    <w:p>
      <w:r>
        <w:t xml:space="preserve">(2) § 2 Absatz 6 Satz 3, Absatz 7 bis 9, § 7 Absatz 1 Satz 2 Nummer 5 und 6, § 20 Absatz 3 sowie § 23 Absatz 3 Satz 5 treten am 1. Januar 2018 in Kraft.</w:t>
      </w:r>
    </w:p>
    <w:p>
      <w:r>
        <w:rPr>
          <w:color w:val="555555"/>
          <w:sz w:val="17"/>
        </w:rPr>
        <w:t xml:space="preserve">Zitiervorschlag: § 32 RAVPV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https://recht.nulegal.eu/gesetze/RAVPV/32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