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RAVPV — Die Rechtsanwaltschaft bei dem Bundesgerichtshof</w:t>
      </w:r>
    </w:p>
    <w:p>
      <w:r>
        <w:rPr>
          <w:color w:val="555555"/>
          <w:sz w:val="18"/>
        </w:rPr>
        <w:t xml:space="preserve">Rechtsanwaltsverzeichnis- und -postfachverordnung</w:t>
      </w:r>
    </w:p>
    <w:p>
      <w:r>
        <w:rPr>
          <w:color w:val="555555"/>
          <w:sz w:val="18"/>
        </w:rPr>
        <w:t xml:space="preserve">Stand: 01.08.2021 (konsolidierte Textfassung, kein amtliches Inkrafttretensdatum)</w:t>
      </w:r>
    </w:p>
    <w:p>
      <w:r>
        <w:t xml:space="preserve">Von den Aufgaben, die nach dieser Verordnung der Rechtsanwaltskammer zugewiesen sind, nimmt das Bundesministerium der Justiz und für Verbraucherschutz die Aufgaben wahr, die mit der Zulassung zur Rechtsanwaltschaft bei dem Bundesgerichtshof, dem Erlöschen dieser Zulassung und der Bestellung einer Vertretung oder eines Abwicklers für einen Rechtsanwalt bei dem Bundesgerichtshof verbunden sind.</w:t>
      </w:r>
    </w:p>
    <w:p>
      <w:r>
        <w:rPr>
          <w:color w:val="555555"/>
          <w:sz w:val="17"/>
        </w:rPr>
        <w:t xml:space="preserve">Zitiervorschlag: § 30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