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RAVPV — Eintragungen in das Verzeichnis</w:t>
      </w:r>
    </w:p>
    <w:p>
      <w:r>
        <w:rPr>
          <w:color w:val="555555"/>
          <w:sz w:val="18"/>
        </w:rPr>
        <w:t xml:space="preserve">Rechtsanwaltsverzeichnis- und -postfachverordnung</w:t>
      </w:r>
    </w:p>
    <w:p>
      <w:r>
        <w:rPr>
          <w:color w:val="555555"/>
          <w:sz w:val="18"/>
        </w:rPr>
        <w:t xml:space="preserve">Stand: 01.08.2022 (konsolidierte Textfassung, kein amtliches Inkrafttretensdatum)</w:t>
      </w:r>
    </w:p>
    <w:p>
      <w:r>
        <w:t xml:space="preserve">Die Eintragung der nach § 1 Absatz 1 Satz 1 und 2 Nummer 1 bis 3 sowie Absatz 2 Nummer 1 und 2 in das Verzeichnis einzutragenden Personen und Berufsausübungsgesellschaften erfolgt unverzüglich nach ihrer Aufnahme in die Rechtsanwaltskammer. Im Fall des § 1 Absatz 1 Satz 2 Nummer 4 erfolgt die Eintragung unverzüglich nach der Feststellung der Voraussetzungen für die Einrichtung des besonderen elektronischen Anwaltspostfachs. Im Übrigen nimmt die Rechtsanwaltskammer Eintragungen unverzüglich vor, nachdem sie von den einzutragenden Umständen Kenntnis erlangt hat und ihr erforderliche Nachweise vorgelegt wurden.</w:t>
      </w:r>
    </w:p>
    <w:p>
      <w:r>
        <w:rPr>
          <w:color w:val="555555"/>
          <w:sz w:val="17"/>
        </w:rPr>
        <w:t xml:space="preserve">Zitiervorschlag: § 3 RAVPV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https://recht.nulegal.eu/gesetze/RAVPV/3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