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RAVPV — Löschung des Postfachs</w:t>
      </w:r>
    </w:p>
    <w:p>
      <w:r>
        <w:rPr>
          <w:color w:val="555555"/>
          <w:sz w:val="18"/>
        </w:rPr>
        <w:t xml:space="preserve">Rechtsanwaltsverzeichnis- und -postfachverordnung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Gesperrte besondere elektronische Anwaltspostfächer werden einschließlich der darin gespeicherten Nachrichten sechs Monate nach der Sperrung gelöscht. Wird ein Abwickler bestellt, erfolgt die Löschung nicht vor Beendigung der Abwicklung.</w:t>
      </w:r>
    </w:p>
    <w:p>
      <w:r>
        <w:rPr>
          <w:color w:val="555555"/>
          <w:sz w:val="17"/>
        </w:rPr>
        <w:t xml:space="preserve">Zitiervorschlag: § 29 RAVPV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https://recht.nulegal.eu/gesetze/RAVPV/29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