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RAVPV — Einrichtung eines Postfachs</w:t>
      </w:r>
    </w:p>
    <w:p>
      <w:r>
        <w:rPr>
          <w:color w:val="555555"/>
          <w:sz w:val="18"/>
        </w:rPr>
        <w:t xml:space="preserve">Rechtsanwaltsverzeichnis- und -postfachverordnung</w:t>
      </w:r>
    </w:p>
    <w:p>
      <w:r>
        <w:rPr>
          <w:color w:val="555555"/>
          <w:sz w:val="18"/>
        </w:rPr>
        <w:t xml:space="preserve">Stand: 01.08.2022 (konsolidierte Textfassung, kein amtliches Inkrafttretensdatum)</w:t>
      </w:r>
    </w:p>
    <w:p>
      <w:r>
        <w:t xml:space="preserve">(1) Die Rechtsanwaltskammern unterrichten die Bundesrechtsanwaltskammer über die bevorstehende Eintragung einer Person oder einer Berufsausübungsgesellschaft in das Gesamtverzeichnis. Die Bundesrechtsanwaltskammer richtet unverzüglich nach der Eintragung einer Person oder einer Berufsausübungsgesellschaft in das Gesamtverzeichnis für diese ein besonderes elektronisches Anwaltspostfach empfangsbereit ein.</w:t>
      </w:r>
    </w:p>
    <w:p>
      <w:r>
        <w:t xml:space="preserve">(2) Absatz 1 gilt nicht, wenn die eingetragene Person oder Berufsausübungsgesellschaft von einer Rechtsanwaltskammer in eine andere wechselt.</w:t>
      </w:r>
    </w:p>
    <w:p>
      <w:r>
        <w:t xml:space="preserve">(3) Für weitere besondere elektronische Anwaltspostfächer gelten die §§ 19, 20 und 22 bis 30 entsprechend.</w:t>
      </w:r>
    </w:p>
    <w:p>
      <w:r>
        <w:t xml:space="preserve">(4) Beantragt ein dienstleistender europäischer Rechtsanwalt die Einrichtung eines besonderen elektronischen Anwaltspostfachs, so hat er eine höchstens einen Monat alte Bescheinigung darüber vorzulegen, dass er zur Ausübung des Berufs des Rechtsanwalts in seinem Niederlassungsstaat berechtigt ist. Verliert ein dienstleistender europäischer Rechtsanwalt, für den ein besonderes elektronisches Anwaltspostfach eingerichtet wurde, seine Zulassung, ist er verpflichtet, der für ihn zuständigen Rechtsanwaltskammer diesen Verlust unverzüglich mitzuteilen. Hierüber ist er von der Rechtsanwaltskammer zu belehren. Die Rechtsanwaltskammer hat zudem die für die Zulassung des Rechtsanwalts in seinem Niederlassungsstaat zuständige Stelle darum zu bitten, ihr einen Verlust der Zulassung unverzüglich mitzuteilen.</w:t>
      </w:r>
    </w:p>
    <w:p>
      <w:r>
        <w:rPr>
          <w:color w:val="555555"/>
          <w:sz w:val="17"/>
        </w:rPr>
        <w:t xml:space="preserve">Zitiervorschlag: § 21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