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RAVPV — Abrufbarkeit</w:t>
      </w:r>
    </w:p>
    <w:p>
      <w:r>
        <w:rPr>
          <w:color w:val="555555"/>
          <w:sz w:val="18"/>
        </w:rPr>
        <w:t xml:space="preserve">Rechtsanwaltsverzeichnis- und -postfachverordnung</w:t>
      </w:r>
    </w:p>
    <w:p>
      <w:r>
        <w:rPr>
          <w:color w:val="555555"/>
          <w:sz w:val="18"/>
        </w:rPr>
        <w:t xml:space="preserve">Stand: 10.12.2019 (konsolidierte Textfassung, kein amtliches Inkrafttretensdatum)</w:t>
      </w:r>
    </w:p>
    <w:p>
      <w:r>
        <w:t xml:space="preserve">(1) Die Bundesrechtsanwaltskammer stellt durch geeignete organisatorische und dem aktuellen Stand entsprechende technische Maßnahmen sicher, dass in ihrem Verantwortungsbereich alle Voraussetzungen dafür erfüllt sind, dass die in § 17 genannten Angaben des Gesamtverzeichnisses jederzeit über das Europäische Rechtsanwaltsverzeichnis abrufbar sind.</w:t>
      </w:r>
    </w:p>
    <w:p>
      <w:r>
        <w:t xml:space="preserve">(2) Die Bundesrechtsanwaltskammer hat durch geeignete organisatorische und dem aktuellen Stand entsprechende technische Maßnahmen zu gewährleisten, dass sie von in ihrem Verantwortungsbereich auftretenden Fehlfunktionen beim Abruf über das Europäische Rechtsanwaltsverzeichnis unverzüglich Kenntnis erlangt. Entsprechende schwerwiegende Fehlfunktionen hat sie unverzüglich, entsprechende andere Fehlfunktionen hat sie zeitnah zu beheben. Über sonstige ihr bekannt werdende Fehlfunktionen des Europäischen Rechtsanwaltsverzeichnisses hat sie den für dessen Führung Verantwortlichen unverzüglich zu unterrichten.</w:t>
      </w:r>
    </w:p>
    <w:p>
      <w:r>
        <w:rPr>
          <w:color w:val="555555"/>
          <w:sz w:val="17"/>
        </w:rPr>
        <w:t xml:space="preserve">Zitiervorschlag: § 18 RAVPV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https://recht.nulegal.eu/gesetze/RAVPV/18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