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RAVPV — Datensicherheit und Einsehbarkeit</w:t>
      </w:r>
    </w:p>
    <w:p>
      <w:r>
        <w:rPr>
          <w:color w:val="555555"/>
          <w:sz w:val="18"/>
        </w:rPr>
        <w:t xml:space="preserve">Rechtsanwaltsverzeichnis- und -postfachverordnung</w:t>
      </w:r>
    </w:p>
    <w:p>
      <w:r>
        <w:rPr>
          <w:color w:val="555555"/>
          <w:sz w:val="18"/>
        </w:rPr>
        <w:t xml:space="preserve">Stand: 10.06.2019 (konsolidierte Textfassung, kein amtliches Inkrafttretensdatum)</w:t>
      </w:r>
    </w:p>
    <w:p>
      <w:r>
        <w:t xml:space="preserve">(1) Die Bundesrechtsanwaltskammer gewährleistet, dass die von den Rechtsanwaltskammern vorzunehmenden Eingaben in das Gesamtverzeichnis allein durch die jeweils zuständige Rechtsanwaltskammer erfolgen. Von der Bundesrechtsanwaltskammer vorzunehmende Eintragungen dürfen nur durch diese erfolgen. Die Bundesrechtsanwaltskammer gewährleistet zudem, dass Sprachkenntnisse und Tätigkeitsschwerpunkte nur von der eingetragenen Person eingetragen, berichtigt und gelöscht werden können.</w:t>
      </w:r>
    </w:p>
    <w:p>
      <w:r>
        <w:t xml:space="preserve">(2) Die Rechtsanwaltskammern gewährleisten, dass hinsichtlich der von ihnen vorgenommenen Eingaben in das Gesamtverzeichnis nachträglich überprüft und festgestellt werden kann, wer diese vorgenommen hat. Gleiches gilt für die Bundesrechtsanwaltskammer hinsichtlich der von ihr in das Gesamtverzeichnis eingetragenen Angaben.</w:t>
      </w:r>
    </w:p>
    <w:p>
      <w:r>
        <w:t xml:space="preserve">(3) Die Bundesrechtsanwaltskammer stellt durch geeignete organisatorische und dem aktuellen Stand entsprechende technische Maßnahmen sicher, dass die in das Gesamtverzeichnis aufgenommenen Angaben ständig einsehbar sind. Sie hat durch solche Maßnahmen zudem Vorkehrungen zu treffen, dass sie von auftretenden Fehlfunktionen des von ihr zu führenden Verzeichnisses unverzüglich Kenntnis erlangt. Schwerwiegende Fehlfunktionen hat sie unverzüglich, andere Fehlfunktionen hat sie zeitnah zu beheben.</w:t>
      </w:r>
    </w:p>
    <w:p>
      <w:r>
        <w:rPr>
          <w:color w:val="555555"/>
          <w:sz w:val="17"/>
        </w:rPr>
        <w:t xml:space="preserve">Zitiervorschlag: § 15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