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RAVPV — Einsichtnahme in das Gesamtverzeichnis</w:t>
      </w:r>
    </w:p>
    <w:p>
      <w:r>
        <w:rPr>
          <w:color w:val="555555"/>
          <w:sz w:val="18"/>
        </w:rPr>
        <w:t xml:space="preserve">Rechtsanwaltsverzeichnis- und -postfachverordnung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6 gilt entsprechend.</w:t>
      </w:r>
    </w:p>
    <w:p>
      <w:r>
        <w:t xml:space="preserve">(2) In das Gesamtverzeichnis eingetragene Sprachkenntnisse und Tätigkeitsschwerpunkte sind ausschließlich über das Europäische Rechtsanwaltsverzeichnis einsehbar.</w:t>
      </w:r>
    </w:p>
    <w:p>
      <w:r>
        <w:rPr>
          <w:color w:val="555555"/>
          <w:sz w:val="17"/>
        </w:rPr>
        <w:t xml:space="preserve">Zitiervorschlag: § 13 RAVPV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https://recht.nulegal.eu/gesetze/RAVPV/13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