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RAVPV — Berichtigung des Gesamtverzeichnisses</w:t>
      </w:r>
    </w:p>
    <w:p>
      <w:r>
        <w:rPr>
          <w:color w:val="555555"/>
          <w:sz w:val="18"/>
        </w:rPr>
        <w:t xml:space="preserve">Rechtsanwaltsverzeichnis- und -postfachverordnung</w:t>
      </w:r>
    </w:p>
    <w:p>
      <w:r>
        <w:rPr>
          <w:color w:val="555555"/>
          <w:sz w:val="18"/>
        </w:rPr>
        <w:t xml:space="preserve">Stand: 10.06.2019 (konsolidierte Textfassung, kein amtliches Inkrafttretensdatum)</w:t>
      </w:r>
    </w:p>
    <w:p>
      <w:r>
        <w:t xml:space="preserve">(1) Sofern die Rechtsanwaltskammern in ihren Verzeichnissen enthaltene Angaben in das Gesamtverzeichnis eingegeben haben, erfolgen Berichtigungen, Sperrungen, Entsperrungen und Löschungen dieser Angaben durch die Rechtsanwaltskammern im automatisierten Verfahren. Zu diesem Zweck zu übertragende Daten sind zumindest mit einer fortgeschrittenen elektronischen Signatur zu versehen.</w:t>
      </w:r>
    </w:p>
    <w:p>
      <w:r>
        <w:t xml:space="preserve">(2) Erlangt die Bundesrechtsanwaltskammer Kenntnis von einer von ihr zu verantwortenden Unrichtigkeit der Bezeichnung eines besonderen elektronischen Anwaltspostfachs, berichtigt sie diese unverzüglich und unterrichtet den Postfachinhaber hierüber. Stellt eine Rechtsanwaltskammer Umstände fest, die eine Unrichtigkeit im Sinne des Satzes 1 nahelegen, so unterrichtet sie die Bundesrechtsanwaltskammer hiervon.</w:t>
      </w:r>
    </w:p>
    <w:p>
      <w:r>
        <w:t xml:space="preserve">(3) Die Bundesrechtsanwaltskammer ermöglicht den eingetragenen Personen die Berichtigung und Löschung der jeweiligen von ihnen im Gesamtverzeichnis eingetragenen Sprachkenntnisse und Tätigkeitsschwerpunkte.</w:t>
      </w:r>
    </w:p>
    <w:p>
      <w:r>
        <w:rPr>
          <w:color w:val="555555"/>
          <w:sz w:val="17"/>
        </w:rPr>
        <w:t xml:space="preserve">Zitiervorschlag: § 12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