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RAVPV — Gegenstand des Verzeichnisses</w:t>
      </w:r>
    </w:p>
    <w:p>
      <w:r>
        <w:rPr>
          <w:color w:val="555555"/>
          <w:sz w:val="18"/>
        </w:rPr>
        <w:t xml:space="preserve">Rechtsanwaltsverzeichnis- und -postfachverordnung</w:t>
      </w:r>
    </w:p>
    <w:p>
      <w:r>
        <w:rPr>
          <w:color w:val="555555"/>
          <w:sz w:val="18"/>
        </w:rPr>
        <w:t xml:space="preserve">Stand: 01.08.2022 (konsolidierte Textfassung, kein amtliches Inkrafttretensdatum)</w:t>
      </w:r>
    </w:p>
    <w:p>
      <w:r>
        <w:t xml:space="preserve">(1) Jede Rechtsanwaltskammer führt ein elektronisches Verzeichnis der in ihrem Bezirk zugelassenen Rechtsanwälte einschließlich der Syndikusrechtsanwälte. In ihr Verzeichnis sind zudem die folgenden Personen einzutragen:</w:t>
      </w:r>
    </w:p>
    <w:p>
      <w:pPr>
        <w:ind w:left="420"/>
      </w:pPr>
      <w:r>
        <w:t xml:space="preserve">1. von ihr aufgenommene niedergelassene europäische Rechtsanwälte einschließlich der niedergelassenen europäischen Syndikusrechtsanwälte nach § 2 Absatz 1 des Gesetzes über die Tätigkeit europäischer Rechtsanwälte in Deutschland;</w:t>
      </w:r>
    </w:p>
    <w:p>
      <w:pPr>
        <w:ind w:left="420"/>
      </w:pPr>
      <w:r>
        <w:t xml:space="preserve">2. von ihr aufgenommene Rechtsanwälte aus anderen Staaten einschließlich der Syndikusrechtsanwälte aus anderen Staaten nach § 206 Absatz 1 der Bundesrechtsanwaltsordnung;</w:t>
      </w:r>
    </w:p>
    <w:p>
      <w:pPr>
        <w:ind w:left="420"/>
      </w:pPr>
      <w:r>
        <w:t xml:space="preserve">3. von ihr aufgenommene Inhaber einer Erlaubnis zur geschäftsmäßigen Rechtsbesorgung nach § 209 Absatz 1 Satz 1 der Bundesrechtsanwaltsordnung;</w:t>
      </w:r>
    </w:p>
    <w:p>
      <w:pPr>
        <w:ind w:left="420"/>
      </w:pPr>
      <w:r>
        <w:t xml:space="preserve">4. dienstleistende europäische Rechtsanwälte einschließlich dienstleistender europäischer Syndikusrechtsanwälte, sofern für diese ein besonderes elektronisches Anwaltspostfach einzurichten und dies nach § 27a Absatz 1 Satz 1 in Verbindung mit § 32 Absatz 4 des Gesetzes über die Tätigkeit europäischer Rechtsanwälte in Deutschland bei ihr zu beantragen ist.</w:t>
      </w:r>
    </w:p>
    <w:p>
      <w:r>
        <w:t xml:space="preserve">(2) In das Verzeichnis nach Absatz 1 sind von den Rechtsanwaltskammern zudem die Berufsausübungsgesellschaften einzutragen, die in ihrem Bezirk</w:t>
      </w:r>
    </w:p>
    <w:p>
      <w:pPr>
        <w:ind w:left="420"/>
      </w:pPr>
      <w:r>
        <w:t xml:space="preserve">1. nach § 59f der Bundesrechtsanwaltsordnung zugelassen sind oder</w:t>
      </w:r>
    </w:p>
    <w:p>
      <w:pPr>
        <w:ind w:left="420"/>
      </w:pPr>
      <w:r>
        <w:t xml:space="preserve">2. als niedergelassene ausländische Berufsausübungsgesellschaften nach § 207a der Bundesrechtsanwaltsordnung zugelassen sind.</w:t>
      </w:r>
    </w:p>
    <w:p>
      <w:r>
        <w:rPr>
          <w:color w:val="555555"/>
          <w:sz w:val="17"/>
        </w:rPr>
        <w:t xml:space="preserve">Zitiervorschlag: § 1 RAVPV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https://recht.nulegal.eu/gesetze/RAVPV/1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