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RAV 9 — Anpassungsfaktor in der Unfallversicherung</w:t>
      </w:r>
    </w:p>
    <w:p>
      <w:r>
        <w:rPr>
          <w:color w:val="555555"/>
          <w:sz w:val="18"/>
        </w:rPr>
        <w:t xml:space="preserve">9. Rentenanpassungsverordnung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vom Jahresarbeitsverdienst abhängigen Geldleistungen und das Pflegegeld der gesetzlichen Unfallversicherung für Arbeitsunfälle im Sinne des § 1153 der Reichsversicherungsordnung, die vor dem 1. Januar 1995 eingetreten sind, werden zum 1. Januar 1995 angepaßt. Der Anpassungsfaktor beträgt 1,0278.</w:t>
      </w:r>
    </w:p>
    <w:p>
      <w:r>
        <w:rPr>
          <w:color w:val="555555"/>
          <w:sz w:val="17"/>
        </w:rPr>
        <w:t xml:space="preserve">Zitiervorschlag: § 2 RAV 9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https://recht.nulegal.eu/gesetze/RAV%209/2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