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RAV 5 — Erstattung an die Deutsche Bundespost</w:t>
      </w:r>
    </w:p>
    <w:p>
      <w:r>
        <w:rPr>
          <w:color w:val="555555"/>
          <w:sz w:val="18"/>
        </w:rPr>
        <w:t xml:space="preserve">5. Rentenanpassungsverordnung</w:t>
      </w:r>
    </w:p>
    <w:p>
      <w:r>
        <w:rPr>
          <w:color w:val="555555"/>
          <w:sz w:val="18"/>
        </w:rPr>
        <w:t xml:space="preserve">Stand: 10.06.2019 (konsolidierte Textfassung, kein amtliches Inkrafttretensdatum)</w:t>
      </w:r>
    </w:p>
    <w:p>
      <w:r>
        <w:t xml:space="preserve">Der Postrentendienst des Unternehmens Deutsche Bundespost POSTDIENST erhält für die nach dieser Verordnung vorzunehmenden Anpassungen und die Wahrnehmung der damit zusammenhängenden Aufgaben von den zuständigen Sozialleistungsträgern einmalig eine zusätzliche Vergütung in Höhe von 1,20 Deutsche Mark pro Zahlfall.</w:t>
      </w:r>
    </w:p>
    <w:p>
      <w:r>
        <w:rPr>
          <w:color w:val="555555"/>
          <w:sz w:val="17"/>
        </w:rPr>
        <w:t xml:space="preserve">Zitiervorschlag: § 4 RAV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https://recht.nulegal.eu/gesetze/RAV%205/4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