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RAV 3</w:t>
      </w:r>
    </w:p>
    <w:p>
      <w:r>
        <w:rPr>
          <w:color w:val="555555"/>
          <w:sz w:val="18"/>
        </w:rPr>
        <w:t xml:space="preserve">3.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- des § 17 Abs. 2 Satz 1 des Vierten Buches Sozialgesetzbuch (Artikel 1 des Gesetzes vom 23. Dezember 1976, BGBl. I S. 3845), der durch Artikel 9 Nr. 1 des Haushaltsbegleitgesetzes 1984 vom 22. Dezember 1983 (BGBl. I S. 1532) eingefügt worden ist,</w:t>
      </w:r>
    </w:p>
    <w:p>
      <w:pPr>
        <w:ind w:left="420"/>
      </w:pPr>
      <w:r>
        <w:t xml:space="preserve">- des § 16 Abs. 1 des Gesetzes zur Überführung der Ansprüche und Anwartschaften aus Zusatz- und Sonderversorgungssystemen des Beitrittsgebiets (Artikel 3 des Gesetzes vom 25. Juli 1991, BGBl. I S. 1606) und</w:t>
      </w:r>
    </w:p>
    <w:p>
      <w:pPr>
        <w:ind w:left="420"/>
      </w:pPr>
      <w:r>
        <w:t xml:space="preserve">- des § 281b Nr. 2 des Sechsten Buches Sozialgesetzbuch (Artikel 1 des Gesetzes vom 25. Juli 1991, BGBl. I S. 1606)</w:t>
      </w:r>
    </w:p>
    <w:p>
      <w:r>
        <w:t xml:space="preserve">verordnet der Bundesminister für Arbeit und Sozialordnung und auf Grund</w:t>
      </w:r>
    </w:p>
    <w:p>
      <w:pPr>
        <w:ind w:left="420"/>
      </w:pPr>
      <w:r>
        <w:t xml:space="preserve">- des § 255b Abs. 1 und des § 275b des Sechsten Buches Sozialgesetzbuch (Artikel 1 des Gesetzes vom 25. Juli 1991, BGBl. I S. 1606) und</w:t>
      </w:r>
    </w:p>
    <w:p>
      <w:pPr>
        <w:ind w:left="420"/>
      </w:pPr>
      <w:r>
        <w:t xml:space="preserve">- des § 1153 der Reichsversicherungsordnung (Artikel 8 des Gesetzes vom 25. Juli 1991, BGBl. I S. 1606)</w:t>
      </w:r>
    </w:p>
    <w:p>
      <w:r>
        <w:t xml:space="preserve">verordnet die Bundesregierung:</w:t>
      </w:r>
    </w:p>
    <w:p>
      <w:r>
        <w:rPr>
          <w:color w:val="555555"/>
          <w:sz w:val="17"/>
        </w:rPr>
        <w:t xml:space="preserve">Zitiervorschlag: Eingangsformel RAV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