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RAV 2 — Berechnung der in der Zeit vom 1. Juli 1991 bis 31. Dezember 1991 entstehenden Rentenansprüche aus der Rentenversicherung</w:t>
      </w:r>
    </w:p>
    <w:p>
      <w:r>
        <w:rPr>
          <w:color w:val="555555"/>
          <w:sz w:val="18"/>
        </w:rPr>
        <w:t xml:space="preserve">2. Rentenanpassungsverordnung</w:t>
      </w:r>
    </w:p>
    <w:p>
      <w:r>
        <w:rPr>
          <w:color w:val="555555"/>
          <w:sz w:val="18"/>
        </w:rPr>
        <w:t xml:space="preserve">Stand: 10.06.2019 (konsolidierte Textfassung, kein amtliches Inkrafttretensdatum)</w:t>
      </w:r>
    </w:p>
    <w:p>
      <w:r>
        <w:t xml:space="preserve">In der Zeit vom 1. Juli 1991 bis 31. Dezember 1991 entstehende Rentenansprüche sind nach den sonst maßgebenden Vorschriften zu ermitteln und nach der 1. Rentenanpassungsverordnung sowie dieser Verordnung anzupassen. Für sie gelten anstelle der in der Anlage zum Rentenangleichungsgesetz enthaltenen Prozentsätze folgende Prozentsätze:</w:t>
      </w:r>
    </w:p>
    <w:p>
      <w:r>
        <w:rPr>
          <w:rFonts w:ascii="Courier New" w:hAnsi="Courier New"/>
          <w:sz w:val="17"/>
        </w:rPr>
        <w:t xml:space="preserve">Arbeitsjahre    Prozentsatz</w:t>
      </w:r>
    </w:p>
    <w:p>
      <w:r>
        <w:rPr>
          <w:rFonts w:ascii="Courier New" w:hAnsi="Courier New"/>
          <w:sz w:val="17"/>
        </w:rPr>
        <w:t xml:space="preserve">51 und mehr    14,18</w:t>
      </w:r>
    </w:p>
    <w:p>
      <w:r>
        <w:rPr>
          <w:rFonts w:ascii="Courier New" w:hAnsi="Courier New"/>
          <w:sz w:val="17"/>
        </w:rPr>
        <w:t xml:space="preserve">50    13,13</w:t>
      </w:r>
    </w:p>
    <w:p>
      <w:r>
        <w:rPr>
          <w:rFonts w:ascii="Courier New" w:hAnsi="Courier New"/>
          <w:sz w:val="17"/>
        </w:rPr>
        <w:t xml:space="preserve">49    11,89</w:t>
      </w:r>
    </w:p>
    <w:p>
      <w:r>
        <w:rPr>
          <w:rFonts w:ascii="Courier New" w:hAnsi="Courier New"/>
          <w:sz w:val="17"/>
        </w:rPr>
        <w:t xml:space="preserve">48    10,79</w:t>
      </w:r>
    </w:p>
    <w:p>
      <w:r>
        <w:rPr>
          <w:rFonts w:ascii="Courier New" w:hAnsi="Courier New"/>
          <w:sz w:val="17"/>
        </w:rPr>
        <w:t xml:space="preserve">47    9,50</w:t>
      </w:r>
    </w:p>
    <w:p>
      <w:r>
        <w:rPr>
          <w:rFonts w:ascii="Courier New" w:hAnsi="Courier New"/>
          <w:sz w:val="17"/>
        </w:rPr>
        <w:t xml:space="preserve">46    8,35</w:t>
      </w:r>
    </w:p>
    <w:p>
      <w:r>
        <w:rPr>
          <w:rFonts w:ascii="Courier New" w:hAnsi="Courier New"/>
          <w:sz w:val="17"/>
        </w:rPr>
        <w:t xml:space="preserve">45    7,01</w:t>
      </w:r>
    </w:p>
    <w:p>
      <w:r>
        <w:rPr>
          <w:rFonts w:ascii="Courier New" w:hAnsi="Courier New"/>
          <w:sz w:val="17"/>
        </w:rPr>
        <w:t xml:space="preserve">44    5,81</w:t>
      </w:r>
    </w:p>
    <w:p>
      <w:r>
        <w:rPr>
          <w:rFonts w:ascii="Courier New" w:hAnsi="Courier New"/>
          <w:sz w:val="17"/>
        </w:rPr>
        <w:t xml:space="preserve">43    4,41</w:t>
      </w:r>
    </w:p>
    <w:p>
      <w:r>
        <w:rPr>
          <w:rFonts w:ascii="Courier New" w:hAnsi="Courier New"/>
          <w:sz w:val="17"/>
        </w:rPr>
        <w:t xml:space="preserve">42    3,16</w:t>
      </w:r>
    </w:p>
    <w:p>
      <w:r>
        <w:rPr>
          <w:rFonts w:ascii="Courier New" w:hAnsi="Courier New"/>
          <w:sz w:val="17"/>
        </w:rPr>
        <w:t xml:space="preserve">41    1,71</w:t>
      </w:r>
    </w:p>
    <w:p>
      <w:r>
        <w:rPr>
          <w:rFonts w:ascii="Courier New" w:hAnsi="Courier New"/>
          <w:sz w:val="17"/>
        </w:rPr>
        <w:t xml:space="preserve">40    0,39</w:t>
      </w:r>
    </w:p>
    <w:p>
      <w:r>
        <w:rPr>
          <w:rFonts w:ascii="Courier New" w:hAnsi="Courier New"/>
          <w:sz w:val="17"/>
        </w:rPr>
        <w:t xml:space="preserve">39    0,59</w:t>
      </w:r>
    </w:p>
    <w:p>
      <w:r>
        <w:rPr>
          <w:rFonts w:ascii="Courier New" w:hAnsi="Courier New"/>
          <w:sz w:val="17"/>
        </w:rPr>
        <w:t xml:space="preserve">unter 39    0,00</w:t>
      </w:r>
    </w:p>
    <w:p>
      <w:r>
        <w:rPr>
          <w:color w:val="555555"/>
          <w:sz w:val="17"/>
        </w:rPr>
        <w:t xml:space="preserve">Zitiervorschlag: § 10 RAV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https://recht.nulegal.eu/gesetze/RAV%202/10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