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RAV 1996 — Inkrafttreten</w:t>
      </w:r>
    </w:p>
    <w:p>
      <w:r>
        <w:rPr>
          <w:color w:val="555555"/>
          <w:sz w:val="18"/>
        </w:rPr>
        <w:t xml:space="preserve">Rentenanpassungsverordnung 1996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Juli 1996 in Kraft.</w:t>
      </w:r>
    </w:p>
    <w:p>
      <w:r>
        <w:rPr>
          <w:color w:val="555555"/>
          <w:sz w:val="17"/>
        </w:rPr>
        <w:t xml:space="preserve">Zitiervorschlag: § 6 RAV 1996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https://recht.nulegal.eu/gesetze/RAV%201996/6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