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RAV 1995 — Angleichungsfaktoren für den Versorgungsausgleich in der Rentenversicherung</w:t>
      </w:r>
    </w:p>
    <w:p>
      <w:r>
        <w:rPr>
          <w:color w:val="555555"/>
          <w:sz w:val="18"/>
        </w:rPr>
        <w:t xml:space="preserve">Rentenanpassungsverordnung 1995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Entscheidungen über den Versorgungsausgleich, die in der Zeit nach dem 30. Juni 1995 ergehen, sind die Angleichungsfaktoren zur Ermittlung des Wertes von angleichungsdynamischen Anrechten nach § 3 Abs. 2 Nr. 1 Buchstabe a des Versorgungsausgleichs-Überleitungsgesetzes der nachstehenden Tabelle zu entnehmen:</w:t>
      </w:r>
    </w:p>
    <w:p>
      <w:r>
        <w:rPr>
          <w:rFonts w:ascii="Courier New" w:hAnsi="Courier New"/>
          <w:sz w:val="17"/>
        </w:rPr>
        <w:t xml:space="preserve">Der Angleichungsfaktor beträgt    bei einem Ehezeitende in der Zeit</w:t>
      </w:r>
    </w:p>
    <w:p>
      <w:r>
        <w:rPr>
          <w:rFonts w:ascii="Courier New" w:hAnsi="Courier New"/>
          <w:sz w:val="17"/>
        </w:rPr>
        <w:t xml:space="preserve">1,9500988    vom 1. Juli 1990 bis 31. Dezember 1990</w:t>
      </w:r>
    </w:p>
    <w:p>
      <w:r>
        <w:rPr>
          <w:rFonts w:ascii="Courier New" w:hAnsi="Courier New"/>
          <w:sz w:val="17"/>
        </w:rPr>
        <w:t xml:space="preserve">1,6950450    vom 1. Januar 1991 bis 30. Juni 1991</w:t>
      </w:r>
    </w:p>
    <w:p>
      <w:r>
        <w:rPr>
          <w:rFonts w:ascii="Courier New" w:hAnsi="Courier New"/>
          <w:sz w:val="17"/>
        </w:rPr>
        <w:t xml:space="preserve">1,5426699    vom 1. Juli 1991 bis 31. Dezember 1991</w:t>
      </w:r>
    </w:p>
    <w:p>
      <w:r>
        <w:rPr>
          <w:rFonts w:ascii="Courier New" w:hAnsi="Courier New"/>
          <w:sz w:val="17"/>
        </w:rPr>
        <w:t xml:space="preserve">1,3816615    vom 1. Januar 1992 bis 30. Juni 1992</w:t>
      </w:r>
    </w:p>
    <w:p>
      <w:r>
        <w:rPr>
          <w:rFonts w:ascii="Courier New" w:hAnsi="Courier New"/>
          <w:sz w:val="17"/>
        </w:rPr>
        <w:t xml:space="preserve">1,2608554    vom 1. Juli 1992 bis 31. Dezember 1992</w:t>
      </w:r>
    </w:p>
    <w:p>
      <w:r>
        <w:rPr>
          <w:rFonts w:ascii="Courier New" w:hAnsi="Courier New"/>
          <w:sz w:val="17"/>
        </w:rPr>
        <w:t xml:space="preserve">1,1883976    vom 1. Januar 1993 bis 30. Juni 1993</w:t>
      </w:r>
    </w:p>
    <w:p>
      <w:r>
        <w:rPr>
          <w:rFonts w:ascii="Courier New" w:hAnsi="Courier New"/>
          <w:sz w:val="17"/>
        </w:rPr>
        <w:t xml:space="preserve">1,0868081    vom 1. Juli 1993 bis 31. Dezember 1993</w:t>
      </w:r>
    </w:p>
    <w:p>
      <w:r>
        <w:rPr>
          <w:rFonts w:ascii="Courier New" w:hAnsi="Courier New"/>
          <w:sz w:val="17"/>
        </w:rPr>
        <w:t xml:space="preserve">1,0486687    vom 1. Januar 1994 bis 30. Juni 1994</w:t>
      </w:r>
    </w:p>
    <w:p>
      <w:r>
        <w:rPr>
          <w:rFonts w:ascii="Courier New" w:hAnsi="Courier New"/>
          <w:sz w:val="17"/>
        </w:rPr>
        <w:t xml:space="preserve">1,0481083    vom 1. Juli 1994 bis 31. Dezember 1994</w:t>
      </w:r>
    </w:p>
    <w:p>
      <w:r>
        <w:rPr>
          <w:rFonts w:ascii="Courier New" w:hAnsi="Courier New"/>
          <w:sz w:val="17"/>
        </w:rPr>
        <w:t xml:space="preserve">1,0197251    vom 1. Januar 1995 bis 30. Juni 1995</w:t>
      </w:r>
    </w:p>
    <w:p>
      <w:r>
        <w:rPr>
          <w:color w:val="555555"/>
          <w:sz w:val="17"/>
        </w:rPr>
        <w:t xml:space="preserve">Zitiervorschlag: § 5 RAV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https://recht.nulegal.eu/gesetze/RAV%201995/5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