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RAV 1994 — Anpassung in der Altershilfe für Landwirte</w:t>
      </w:r>
    </w:p>
    <w:p>
      <w:r>
        <w:rPr>
          <w:color w:val="555555"/>
          <w:sz w:val="18"/>
        </w:rPr>
        <w:t xml:space="preserve">Rentenanpassungsverordnung 1994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§ 4 Abs. 1 Satz 1 des Gesetzes über eine Altershilfe für Landwirte bestimmten Beträge für das Altersgeld und das vorzeitige Altersgeld betragen vom 1. Juli 1994 an</w:t>
      </w:r>
    </w:p>
    <w:p>
      <w:pPr>
        <w:ind w:left="420"/>
      </w:pPr>
      <w:r>
        <w:t xml:space="preserve">1. für den verheirateten Berechtigten 727,60 Deutsche Mark monatlich,</w:t>
      </w:r>
    </w:p>
    <w:p>
      <w:pPr>
        <w:ind w:left="420"/>
      </w:pPr>
      <w:r>
        <w:t xml:space="preserve">2. für den unverheirateten Berechtigten 485,50 Deutsche Mark monatlich.</w:t>
      </w:r>
    </w:p>
    <w:p>
      <w:r>
        <w:rPr>
          <w:color w:val="555555"/>
          <w:sz w:val="17"/>
        </w:rPr>
        <w:t xml:space="preserve">Zitiervorschlag: § 4 RAV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https://recht.nulegal.eu/gesetze/RAV%201994/4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