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1994 — Anpassungsfaktor in der Unfallversicherung</w:t>
      </w:r>
    </w:p>
    <w:p>
      <w:r>
        <w:rPr>
          <w:color w:val="555555"/>
          <w:sz w:val="18"/>
        </w:rPr>
        <w:t xml:space="preserve">Rentenanpassungsverordnung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1994 anzupassenden Geldleistungen der gesetzlichen Unfallversicherung für Arbeitsunfälle im Sinne des § 579 der Reichsversicherungsordnung beträgt 1,0305.</w:t>
      </w:r>
    </w:p>
    <w:p>
      <w:r>
        <w:t xml:space="preserve">(2) Die vom Jahresarbeitsverdienst abhängigen Geldleistungen und das Pflegegeld der gesetzlichen Unfallversicherung für Arbeitsunfälle im Sinne des § 1153 der Reichsversicherungsordnung, die vor dem 1. Juli 1994 eingetreten sind, werden zum 1. Juli 1994 angepaßt. Der Anpassungsfaktor beträgt 1,0345.</w:t>
      </w:r>
    </w:p>
    <w:p>
      <w:r>
        <w:rPr>
          <w:color w:val="555555"/>
          <w:sz w:val="17"/>
        </w:rPr>
        <w:t xml:space="preserve">Zitiervorschlag: § 2 RAV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