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1992 — Grenzbeträge für die Zahlung eines Sozialzuschlags</w:t>
      </w:r>
    </w:p>
    <w:p>
      <w:r>
        <w:rPr>
          <w:color w:val="555555"/>
          <w:sz w:val="18"/>
        </w:rPr>
        <w:t xml:space="preserve">Rentenanpassungsverordnung 1992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2 Abs. 1 Nr. 1 und 2 des Gesetzes zur Zahlung eines Sozialzuschlags zu Renten im Beitrittsgebiet bestimmten Beträge betragen vom 1. Juli 1992 an</w:t>
      </w:r>
    </w:p>
    <w:p>
      <w:pPr>
        <w:ind w:left="420"/>
      </w:pPr>
      <w:r>
        <w:t xml:space="preserve">1. bei Alleinstehenden 658 Deutsche Mark monatlich,</w:t>
      </w:r>
    </w:p>
    <w:p>
      <w:pPr>
        <w:ind w:left="420"/>
      </w:pPr>
      <w:r>
        <w:t xml:space="preserve">2. bei Verheirateten 1.054 Deutsche Mark monatlich.</w:t>
      </w:r>
    </w:p>
    <w:p>
      <w:r>
        <w:rPr>
          <w:color w:val="555555"/>
          <w:sz w:val="17"/>
        </w:rPr>
        <w:t xml:space="preserve">Zitiervorschlag: § 6 RAV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