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RAV 11 — Angleichungsfaktoren für den Versorgungsausgleich in der Rentenversicherung</w:t>
      </w:r>
    </w:p>
    <w:p>
      <w:r>
        <w:rPr>
          <w:color w:val="555555"/>
          <w:sz w:val="18"/>
        </w:rPr>
        <w:t xml:space="preserve">11.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Entscheidungen über den Versorgungsausgleich, die in der Zeit nach dem 31. Dezember 1995 ergehen, sind die Angleichungsfaktoren zur Ermittlung des Wertes von angleichungsdynamischen Anrechten nach § 3 Abs. 2 Nr. 1 Buchstabe a des Versorgungsausgleichs-Überleitungsgesetzes der nachstehenden Tabelle zu entnehmen:</w:t>
      </w:r>
    </w:p>
    <w:p>
      <w:r>
        <w:rPr>
          <w:rFonts w:ascii="Courier New" w:hAnsi="Courier New"/>
          <w:sz w:val="17"/>
        </w:rPr>
        <w:t xml:space="preserve">Der Angleichungsfaktor beträgt    bei einem Ehezeitende in der Zeit</w:t>
      </w:r>
    </w:p>
    <w:p>
      <w:r>
        <w:rPr>
          <w:rFonts w:ascii="Courier New" w:hAnsi="Courier New"/>
          <w:sz w:val="17"/>
        </w:rPr>
        <w:t xml:space="preserve">2,0354458    vom 1. Juli 1990 bis 31. Dezember 1990</w:t>
      </w:r>
    </w:p>
    <w:p>
      <w:r>
        <w:rPr>
          <w:rFonts w:ascii="Courier New" w:hAnsi="Courier New"/>
          <w:sz w:val="17"/>
        </w:rPr>
        <w:t xml:space="preserve">1,7692294    vom 1. Januar 1991 bis 30. Juni 1991</w:t>
      </w:r>
    </w:p>
    <w:p>
      <w:r>
        <w:rPr>
          <w:rFonts w:ascii="Courier New" w:hAnsi="Courier New"/>
          <w:sz w:val="17"/>
        </w:rPr>
        <w:t xml:space="preserve">1,6101856    vom 1. Juli 1991 bis 31. Dezember 1991</w:t>
      </w:r>
    </w:p>
    <w:p>
      <w:r>
        <w:rPr>
          <w:rFonts w:ascii="Courier New" w:hAnsi="Courier New"/>
          <w:sz w:val="17"/>
        </w:rPr>
        <w:t xml:space="preserve">1,4421306    vom 1. Januar 1992 bis 30. Juni 1992</w:t>
      </w:r>
    </w:p>
    <w:p>
      <w:r>
        <w:rPr>
          <w:rFonts w:ascii="Courier New" w:hAnsi="Courier New"/>
          <w:sz w:val="17"/>
        </w:rPr>
        <w:t xml:space="preserve">1,3160373    vom 1. Juli 1992 bis 31. Dezember 1992</w:t>
      </w:r>
    </w:p>
    <w:p>
      <w:r>
        <w:rPr>
          <w:rFonts w:ascii="Courier New" w:hAnsi="Courier New"/>
          <w:sz w:val="17"/>
        </w:rPr>
        <w:t xml:space="preserve">1,2404084    vom 1. Januar 1993 bis 30. Juni 1993</w:t>
      </w:r>
    </w:p>
    <w:p>
      <w:r>
        <w:rPr>
          <w:rFonts w:ascii="Courier New" w:hAnsi="Courier New"/>
          <w:sz w:val="17"/>
        </w:rPr>
        <w:t xml:space="preserve">1,1343727    vom 1. Juli 1993 bis 31. Dezember 1993</w:t>
      </w:r>
    </w:p>
    <w:p>
      <w:r>
        <w:rPr>
          <w:rFonts w:ascii="Courier New" w:hAnsi="Courier New"/>
          <w:sz w:val="17"/>
        </w:rPr>
        <w:t xml:space="preserve">1,0945642    vom 1. Januar 1994 bis 30. Juni 1994</w:t>
      </w:r>
    </w:p>
    <w:p>
      <w:r>
        <w:rPr>
          <w:rFonts w:ascii="Courier New" w:hAnsi="Courier New"/>
          <w:sz w:val="17"/>
        </w:rPr>
        <w:t xml:space="preserve">1,0939792    vom 1. Juli 1994 bis 31. Dezember 1994</w:t>
      </w:r>
    </w:p>
    <w:p>
      <w:r>
        <w:rPr>
          <w:rFonts w:ascii="Courier New" w:hAnsi="Courier New"/>
          <w:sz w:val="17"/>
        </w:rPr>
        <w:t xml:space="preserve">1,0643538    vom 1. Januar 1995 bis 30. Juni 1995</w:t>
      </w:r>
    </w:p>
    <w:p>
      <w:r>
        <w:rPr>
          <w:rFonts w:ascii="Courier New" w:hAnsi="Courier New"/>
          <w:sz w:val="17"/>
        </w:rPr>
        <w:t xml:space="preserve">1,0437655    vom 1. Juli 1995 bis 31. Dezember 1995</w:t>
      </w:r>
    </w:p>
    <w:p>
      <w:r>
        <w:rPr>
          <w:color w:val="555555"/>
          <w:sz w:val="17"/>
        </w:rPr>
        <w:t xml:space="preserve">Zitiervorschlag: § 5 RAV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https://recht.nulegal.eu/gesetze/RAV%2011/5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