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RAV 1 — Renten aus der Unfallversicherung</w:t>
      </w:r>
    </w:p>
    <w:p>
      <w:r>
        <w:rPr>
          <w:color w:val="555555"/>
          <w:sz w:val="18"/>
        </w:rPr>
        <w:t xml:space="preserve">1. Rentenanpassungsverordnung</w:t>
      </w:r>
    </w:p>
    <w:p>
      <w:r>
        <w:rPr>
          <w:color w:val="555555"/>
          <w:sz w:val="18"/>
        </w:rPr>
        <w:t xml:space="preserve">Stand: 10.06.2019 (konsolidierte Textfassung, kein amtliches Inkrafttretensdatum)</w:t>
      </w:r>
    </w:p>
    <w:p>
      <w:r>
        <w:t xml:space="preserve">Die Renten aus der Unfallversicherung für Arbeitsunfälle und Berufskrankheiten, die vor dem 1. Januar 1991 eingetreten sind, werden nach einer um 15 vom Hundert erhöhten Berechnungsgrundlage berechnet. Dies gilt nicht für Kinderzuschläge zu Unfallrenten.</w:t>
      </w:r>
    </w:p>
    <w:p>
      <w:r>
        <w:rPr>
          <w:color w:val="555555"/>
          <w:sz w:val="17"/>
        </w:rPr>
        <w:t xml:space="preserve">Zitiervorschlag: § 3 RAV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