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RAPrAStVSued (Bayern)</w:t>
      </w:r>
    </w:p>
    <w:p>
      <w:r>
        <w:rPr>
          <w:color w:val="555555"/>
          <w:sz w:val="18"/>
        </w:rPr>
        <w:t xml:space="preserve">Staatsvertrag über die Bildung eines Gemeinsamen Prüfungsamtes zur Abnahme der Eignungsprüfung für die Zulassung zur Rechtsanwaltschaft Vom 1.–12. April 2005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Vertrag bedarf der Ratifikation. Er tritt am Ersten des Monats in Kraft, der auf den Monat folgt, in dem die Ratifikationsurkunden von den vertragsschließenden Ländern bei dem Justizministerium Baden-Württemberg hinterlegt worden sind.</w:t>
      </w:r>
    </w:p>
    <w:p>
      <w:r>
        <w:rPr>
          <w:color w:val="555555"/>
          <w:sz w:val="17"/>
        </w:rPr>
        <w:t xml:space="preserve">Zitiervorschlag: § 6 RAPrAStVSued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https://recht.nulegal.eu/gesetze/RAPrAStVSued/6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