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1,8353 vervielfältigt und der Kinderzuschuß für jedes Kind nach der allgemeinen Bemessungsgrundlage für das Jahr 1966 berechnet werden würde; Abweichungen infolge Abrundungen sind zulässig. § 2 Abs. 1 Satz 2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Versichertenrenten    Witwen- und Witwerrenten</w:t>
      </w:r>
    </w:p>
    <w:p>
      <w:r>
        <w:rPr>
          <w:rFonts w:ascii="Courier New" w:hAnsi="Courier New"/>
          <w:sz w:val="17"/>
        </w:rPr>
        <w:t xml:space="preserve">Jahren    DM/Monat    DM/Monat</w:t>
      </w:r>
    </w:p>
    <w:p>
      <w:r>
        <w:rPr>
          <w:rFonts w:ascii="Courier New" w:hAnsi="Courier New"/>
          <w:sz w:val="17"/>
        </w:rPr>
        <w:t xml:space="preserve">50 und mehr    975,00    585,00</w:t>
      </w:r>
    </w:p>
    <w:p>
      <w:r>
        <w:rPr>
          <w:rFonts w:ascii="Courier New" w:hAnsi="Courier New"/>
          <w:sz w:val="17"/>
        </w:rPr>
        <w:t xml:space="preserve">49    955,50    573,30</w:t>
      </w:r>
    </w:p>
    <w:p>
      <w:r>
        <w:rPr>
          <w:rFonts w:ascii="Courier New" w:hAnsi="Courier New"/>
          <w:sz w:val="17"/>
        </w:rPr>
        <w:t xml:space="preserve">48    936,00    561,60</w:t>
      </w:r>
    </w:p>
    <w:p>
      <w:r>
        <w:rPr>
          <w:rFonts w:ascii="Courier New" w:hAnsi="Courier New"/>
          <w:sz w:val="17"/>
        </w:rPr>
        <w:t xml:space="preserve">47    916,50    549,90</w:t>
      </w:r>
    </w:p>
    <w:p>
      <w:r>
        <w:rPr>
          <w:rFonts w:ascii="Courier New" w:hAnsi="Courier New"/>
          <w:sz w:val="17"/>
        </w:rPr>
        <w:t xml:space="preserve">46    897,00    538,20</w:t>
      </w:r>
    </w:p>
    <w:p>
      <w:r>
        <w:rPr>
          <w:rFonts w:ascii="Courier New" w:hAnsi="Courier New"/>
          <w:sz w:val="17"/>
        </w:rPr>
        <w:t xml:space="preserve">45    877,50    526,50</w:t>
      </w:r>
    </w:p>
    <w:p>
      <w:r>
        <w:rPr>
          <w:rFonts w:ascii="Courier New" w:hAnsi="Courier New"/>
          <w:sz w:val="17"/>
        </w:rPr>
        <w:t xml:space="preserve">44    858,00    514,80</w:t>
      </w:r>
    </w:p>
    <w:p>
      <w:r>
        <w:rPr>
          <w:rFonts w:ascii="Courier New" w:hAnsi="Courier New"/>
          <w:sz w:val="17"/>
        </w:rPr>
        <w:t xml:space="preserve">43    838,50    503,10</w:t>
      </w:r>
    </w:p>
    <w:p>
      <w:r>
        <w:rPr>
          <w:rFonts w:ascii="Courier New" w:hAnsi="Courier New"/>
          <w:sz w:val="17"/>
        </w:rPr>
        <w:t xml:space="preserve">42    819,00    491,40</w:t>
      </w:r>
    </w:p>
    <w:p>
      <w:r>
        <w:rPr>
          <w:rFonts w:ascii="Courier New" w:hAnsi="Courier New"/>
          <w:sz w:val="17"/>
        </w:rPr>
        <w:t xml:space="preserve">41    799,50    479,70</w:t>
      </w:r>
    </w:p>
    <w:p>
      <w:r>
        <w:rPr>
          <w:rFonts w:ascii="Courier New" w:hAnsi="Courier New"/>
          <w:sz w:val="17"/>
        </w:rPr>
        <w:t xml:space="preserve">40 und weniger    780,00    468,00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Betrags von 7.650,00 Deutsche Mark der Betrag von 13.260,00 Deutsche Mark, in § 3 Abs. 1 der Verordnung an die Stelle des Betrags von 171,60 Deutsche Mark der Betrag von 315,20 Deutsche Mark, an die Stelle des Betrags von 471,60 Deutsche Mark der Betrag von 865,80 Deutsche Mark und in § 3 Abs. 2 der Verordnung an die Stelle des Betrags von 4.281,00 Deutsche Mark der Betrag von 7.857,00 Deutsche Mark tritt.</w:t>
      </w:r>
    </w:p>
    <w:p>
      <w:r>
        <w:rPr>
          <w:color w:val="555555"/>
          <w:sz w:val="17"/>
        </w:rPr>
        <w:t xml:space="preserve">Zitiervorschlag: § 3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