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und Renten nach Artikel 2 § 42 des Arbeiterrentenversicherungs-Neuregelungsgesetzes und Artikel 2 § 41 des Angestelltenversicherungs-Neuregelungsgesetzes,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beider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