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1,061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Saarlands S. 520) der Geldleistung zugrunde liegt.</w:t>
      </w:r>
    </w:p>
    <w:p>
      <w:r>
        <w:t xml:space="preserve">(2) Soweit der Jahresarbeitsverdienst nach dem Ortslohn berechnet ist, werden die Geldleistungen in der Weise angepaßt, daß sie nach einem mit 1,156 vervielfältigten Jahresarbeitsverdienst berechnet werden.</w:t>
      </w:r>
    </w:p>
    <w:p>
      <w:r>
        <w:t xml:space="preserve">(3) Soweit die Geldleistungen auf Grund eines Jahresarbeitsverdienstes berechnet werden, dessen Betrag in der Satzung des Versicherungsträgers zahlenmäßig festgesetzt ist, werden sie in der Weise angepaßt, daß sie auf Grund des am 1. Januar 1963 maßgeblichen Betrags berechnet werden.</w:t>
      </w:r>
    </w:p>
    <w:p>
      <w:r>
        <w:rPr>
          <w:color w:val="555555"/>
          <w:sz w:val="17"/>
        </w:rPr>
        <w:t xml:space="preserve">Zitiervorschlag: § 10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