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RAG 7</w:t>
      </w:r>
    </w:p>
    <w:p>
      <w:r>
        <w:rPr>
          <w:color w:val="555555"/>
          <w:sz w:val="18"/>
        </w:rPr>
        <w:t xml:space="preserve">Siebentes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den gesetzlichen Rentenversicherungen werden aus Anlaß der Veränderung der allgemeinen Bemessungsgrundlage für das Jahr 1964 die Versicherten- und Hinterbliebenenrenten aus Versicherungsfällen, die im Jahr 1963 oder früher eingetreten sind, für Bezugszeiten vom 1. Januar 1965 an nach Maßgabe der §§ 2 bis 8 angepaßt.</w:t>
      </w:r>
    </w:p>
    <w:p>
      <w:r>
        <w:t xml:space="preserve">(2) Zu den Renten im Sinne des Absatzes 1 gehören auch die nach Artikel 2 § 38 Abs. 3 Satz 1 des Arbeiterrentenversicherungs-Neuregelungsgesetzes und Artikel 2 § 37 Abs. 3 Satz 1 des Angestelltenversicherungs-Neuregelungsgesetzes erhöhten Renten von Berechtigten, die das 65. Lebensjahr im Jahr 1964 vollendet haben, die Knappschaftsausgleichsleistung nach § 98a des Reichsknappschaftsgesetzes und die Leistung nach §§ 27, 28 des Sozialversicherungs-Angleichungsgesetzes Saar vom 15. Juni 1963 (Bundesgesetzbl. I S. 402).</w:t>
      </w:r>
    </w:p>
    <w:p>
      <w:r>
        <w:t xml:space="preserve">(3) Absatz 1 findet auf den Knappschaftssold keine Anwendung.</w:t>
      </w:r>
    </w:p>
    <w:p>
      <w:r>
        <w:rPr>
          <w:color w:val="555555"/>
          <w:sz w:val="17"/>
        </w:rPr>
        <w:t xml:space="preserve">Zitiervorschlag: § 1 RAG 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https://recht.nulegal.eu/gesetze/RAG%207/1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