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2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Renten, die nach §§ 1253ff. der Reichsversicherungsordnung, §§ 30ff. des Angestelltenversicherungsgesetzes oder §§ 53ff. des Reichsknappschaftsgesetzes berechnet sind, sind so anzupassen, daß sich eine Rente ergibt, wie sie sich nach Anwendung der Kürzungs- und Ruhensvorschriften ergeben würde, wenn die Rente ohne Änderung der übrigen Berechnungsfaktoren unter Zugrundelegung der allgemeinen Bemessungsgrundlage für das Jahr 1963 und der Beitragsbemessungsgrenze für dieses Jahr berechnet werden würde; Abweichungen infolge Abrundungen sind zulässig. § 1282 Abs. 2 der Reichsversicherungsordnung, § 59 Abs. 2 des Angestelltenversicherungsgesetzes und § 79 Abs. 2 des Reichsknappschaftsgesetzes gelten nicht. In den Fällen, in denen § 1280 der Reichsversicherungsordnung, § 57 des Angestelltenversicherungsgesetzes, § 77 des Reichsknappschaftsgesetzes, Artikel 2 § 38 Abs. 3 Satz 2 zweiter Halbsatz des Arbeiterrentenversicherungs-Neuregelungsgesetzes oder Artikel 2 § 37 Abs. 3 Satz 2 zweiter Halbsatz des Angestelltenversicherungs-Neuregelungsgesetzes angewendet worden ist, findet Satz 1 keine Anwendung.</w:t>
      </w:r>
    </w:p>
    <w:p>
      <w:r>
        <w:t xml:space="preserve">(2) Absatz 1 Satz 1 und 2 gilt entsprechend für Renten der knappschaftlichen Rentenversicherung, die nach Artikel 2 § 24 Abs. 5 des Knappschaftsrentenversicherungs-Neuregelungsgesetzes gezahlt werden.</w:t>
      </w:r>
    </w:p>
    <w:p>
      <w:r>
        <w:rPr>
          <w:color w:val="555555"/>
          <w:sz w:val="17"/>
        </w:rPr>
        <w:t xml:space="preserve">Zitiervorschlag: Art I § 2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