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1963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1963 zulässig.</w:t>
      </w:r>
    </w:p>
    <w:p>
      <w:r>
        <w:t xml:space="preserve">(3) § 1300 der Reichsversicherungsordnung, § 79 des Angestelltenversicherungsgesetzes und § 93 Abs. 1 des Reichsknappschaftsgesetzes bleiben unberührt.</w:t>
      </w:r>
    </w:p>
    <w:p>
      <w:r>
        <w:rPr>
          <w:color w:val="555555"/>
          <w:sz w:val="17"/>
        </w:rPr>
        <w:t xml:space="preserve">Zitiervorschlag: § 9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