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RAG 5</w:t>
      </w:r>
    </w:p>
    <w:p>
      <w:r>
        <w:rPr>
          <w:color w:val="555555"/>
          <w:sz w:val="18"/>
        </w:rPr>
        <w:t xml:space="preserve">Fünftes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Ergibt die Anpassung keinen höheren als den bisherigen Zahlbetrag, so ist dieser weiterzuzahlen.</w:t>
      </w:r>
    </w:p>
    <w:p>
      <w:r>
        <w:rPr>
          <w:color w:val="555555"/>
          <w:sz w:val="17"/>
        </w:rPr>
        <w:t xml:space="preserve">Zitiervorschlag: § 7 RAG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https://recht.nulegal.eu/gesetze/RAG%205/7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