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5</w:t>
      </w:r>
    </w:p>
    <w:p>
      <w:r>
        <w:rPr>
          <w:color w:val="555555"/>
          <w:sz w:val="18"/>
        </w:rPr>
        <w:t xml:space="preserve">Fünftes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 64, 65, 66 des Reichsknappschaftsgesetzes sechs Zehntel, bei Renten an Halbwaisen ein Zehntel und bei Renten an Vollwaisen ein Fünftel der für den Versicherten maßgebenden Rentenbemessungsgrundlage tritt.</w:t>
      </w:r>
    </w:p>
    <w:p>
      <w:r>
        <w:t xml:space="preserve">(3) Renten aus Versicherungsfällen nach dem 31. Dezember 1956, die mit einer Rente aus der gesetzlichen Unfallversicherung zusammentreffen und nach § 4 angepaßt werden, dürfen zusammen die in §§ 1278, 1279 der Reichsversicherungsordnung, §§ 55, 56 des Angestelltenversicherungsgesetzes oder die in §§ 75, 76 des Reichsknappschaftsgesetzes genannten Grenzbeträge, die bei einer Berechnung der Rente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 1278, 1279 der Reichsversicherungsordnung oder die in §§ 55, 56 des Angestelltenversicherungsgesetzes genannten Grenzbeträge, die bei einer Berechnung der Rente nach § 3 zu berücksichtigen sind, nicht überschreiten.</w:t>
      </w:r>
    </w:p>
    <w:p>
      <w:r>
        <w:rPr>
          <w:color w:val="555555"/>
          <w:sz w:val="17"/>
        </w:rPr>
        <w:t xml:space="preserve">Zitiervorschlag: § 6 RAG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