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Die übrigen Renten werden in der Weise angepaßt, daß der nach § 5 zu ermittelnde Anpassungsbetrag mit 1,066 vervielfältigt wird; dem sich dadurch ergebenden Betrag sind der Kinderzuschuß und die der Anpassung nicht unterliegenden Rententeile wieder hinzuzufügen. Der Kinderzuschuß für jedes Kind ist nach der allgemeinen Bemessungsgrundlage des Jahres 1962 zu berechnen.</w:t>
      </w:r>
    </w:p>
    <w:p>
      <w:r>
        <w:t xml:space="preserve">(2) Renten nach Absatz 1, die mit einer Rente aus der gesetzlichen Unfallversicherung zusammentreffen und auf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 4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