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4</w:t>
      </w:r>
    </w:p>
    <w:p>
      <w:r>
        <w:rPr>
          <w:color w:val="555555"/>
          <w:sz w:val="18"/>
        </w:rPr>
        <w:t xml:space="preserve">Viertes Rentenanpassungsgesetz</w:t>
      </w:r>
    </w:p>
    <w:p>
      <w:r>
        <w:rPr>
          <w:color w:val="555555"/>
          <w:sz w:val="18"/>
        </w:rPr>
        <w:t xml:space="preserve">Stand: 10.06.2019 (konsolidierte Textfassung, kein amtliches Inkrafttretensdatum)</w:t>
      </w:r>
    </w:p>
    <w:p>
      <w:r>
        <w:t xml:space="preserve">(1) Renten, die nach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1961 und der Beitragsbemessungsgrenze für dieses Jahr berechnet werden würde; Abweichungen infolge Abrundungen sind zulässig. § 1282 Abs. 2 der Reichsversicherungsordnung, § 59 Abs. 2 des Angestelltenversicherungsgesetzes und § 79 Abs. 2 des Reichsknappschaftsgesetzes gelten nicht. In den Fällen des Artikels 2 § 38 Abs. 3 Satz 2 zweiter Halbsatz des Arbeiterrentenversicherungs-Neuregelungsgesetzes oder des Artikels 2 § 37 Abs. 3 Satz 2 zweiter Halbsatz des Angestelltenversicherungs-Neuregelungsgesetzes findet Satz 1 keine Anwendung.</w:t>
      </w:r>
    </w:p>
    <w:p>
      <w:r>
        <w:t xml:space="preserve">(2) Absatz 1 Satz 1 und 2 gelten entsprechend für Renten der knappschaftlichen Rentenversicherung, die</w:t>
      </w:r>
    </w:p>
    <w:p>
      <w:pPr>
        <w:ind w:left="420"/>
      </w:pPr>
      <w:r>
        <w:t xml:space="preserve">a) nach Artikel 2 § 24 Abs. 5 des Knappschaftsrentenversicherungs-Neuregelungsgesetzes gezahlt werden oder</w:t>
      </w:r>
    </w:p>
    <w:p>
      <w:pPr>
        <w:ind w:left="420"/>
      </w:pPr>
      <w:r>
        <w:t xml:space="preserve">b) nach Artikel 2 § 25 des Knappschaftsrentenversicherungs-Neuregelungsgesetzes berechnet worden sind, wenn auf sie die §§ 75, 76 des Reichsknappschaftsgesetzes Anwendung gefunden haben.</w:t>
      </w:r>
    </w:p>
    <w:p>
      <w:r>
        <w:rPr>
          <w:color w:val="555555"/>
          <w:sz w:val="17"/>
        </w:rPr>
        <w:t xml:space="preserve">Zitiervorschlag: § 2 RAG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