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RAG 3</w:t>
      </w:r>
    </w:p>
    <w:p>
      <w:r>
        <w:rPr>
          <w:color w:val="555555"/>
          <w:sz w:val="18"/>
        </w:rPr>
        <w:t xml:space="preserve">Drittes Rentenanpassungsgesetz</w:t>
      </w:r>
    </w:p>
    <w:p>
      <w:r>
        <w:rPr>
          <w:color w:val="555555"/>
          <w:sz w:val="18"/>
        </w:rPr>
        <w:t xml:space="preserve">Stand: 10.06.2019 (konsolidierte Textfassung, kein amtliches Inkrafttretensdatum)</w:t>
      </w:r>
    </w:p>
    <w:p>
      <w:r>
        <w:t xml:space="preserve">(1) Die Vorschriften dieses Gesetzes gelten im Saarland unter Berücksichtigung der Fassung, in der die in den §§ 1 bis 3 aufgeführten Vorschriften im Saarland anzuwenden sind, und zwar auch für Renten, die nach Artikel 2 § 15 des Gesetzes Nr. 591 zur Einführung des Arbeiterrentenversicherungs-Neuregelungsgesetzes im Saarland vom 13. Juli 1957 (Amtsblatt des Saarlands S. 779), Artikel 2 § 17 des Gesetzes Nr. 590 zur Einführung des Angestelltenversicherungs-Neuregelungsgesetzes im Saarland vom 13. Juli 1957 (Amtsblatt des Saarlands S. 789) und Artikel 4 § 9 des Gesetzes Nr. 635 zur Einführung des Reichsknappschaftsgesetzes und des Knappschaftsrentenversicherungs-Neuregelungsgesetzes im Saarland vom 18. Juni 1958 (Amtsblatt des Saarlands S. 1099) gewährt werden.</w:t>
      </w:r>
    </w:p>
    <w:p>
      <w:r>
        <w:t xml:space="preserve">(2) § 5 gilt im Saarland mit der Maßgabe, daß an Stelle des Bundesversorgungsgesetzes das entsprechende saarländische Gesetz tritt und das Bundesentschädigungsgesetz sowie das Lastenausgleichsgesetz unter Berücksichtigung ihrer im Saarland geltenden Fassung anzuwenden sind.</w:t>
      </w:r>
    </w:p>
    <w:p>
      <w:r>
        <w:rPr>
          <w:color w:val="555555"/>
          <w:sz w:val="17"/>
        </w:rPr>
        <w:t xml:space="preserve">Zitiervorschlag: § 7 RAG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