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3</w:t>
      </w:r>
    </w:p>
    <w:p>
      <w:r>
        <w:rPr>
          <w:color w:val="555555"/>
          <w:sz w:val="18"/>
        </w:rPr>
        <w:t xml:space="preserve">Drittes Rentenanpassungsgesetz</w:t>
      </w:r>
    </w:p>
    <w:p>
      <w:r>
        <w:rPr>
          <w:color w:val="555555"/>
          <w:sz w:val="18"/>
        </w:rPr>
        <w:t xml:space="preserve">Stand: 10.06.2019 (konsolidierte Textfassung, kein amtliches Inkrafttretensdatum)</w:t>
      </w:r>
    </w:p>
    <w:p>
      <w:r>
        <w:t xml:space="preserve">(1) Dem Berechtigten ist über die Anpassung eine schriftliche Mitteilung zu geben.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1961 zulässig.</w:t>
      </w:r>
    </w:p>
    <w:p>
      <w:r>
        <w:t xml:space="preserve">(2) § 1300 der Reichsversicherungsordnung, § 79 des Angestelltenversicherungsgesetzes und § 93 Abs. 1 des Reichsknappschaftsgesetzes bleiben unberührt.</w:t>
      </w:r>
    </w:p>
    <w:p>
      <w:r>
        <w:rPr>
          <w:color w:val="555555"/>
          <w:sz w:val="17"/>
        </w:rPr>
        <w:t xml:space="preserve">Zitiervorschlag: § 6 RAG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