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RAG 3</w:t>
      </w:r>
    </w:p>
    <w:p>
      <w:r>
        <w:rPr>
          <w:color w:val="555555"/>
          <w:sz w:val="18"/>
        </w:rPr>
        <w:t xml:space="preserve">Drittes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den gesetzlichen Rentenversicherungen werden aus Anlaß der Veränderung der allgemeinen Bemessungsgrundlage für das Jahr 1960 die Versicherten- und Hinterbliebenenrenten aus Versicherungsfällen, die im Jahr 1959 oder früher eingetreten sind, für Bezugszeiten vom 1. Januar 1961 an in der Weise angepaßt, daß der nach § 2 zu ermittelnde Anpassungsbetrag mit 1,054 vervielfältigt wird; dem sich dadurch ergebenden Betrag sind die der Anpassung nicht unterliegenden Rententeile wieder hinzuzufügen.</w:t>
      </w:r>
    </w:p>
    <w:p>
      <w:r>
        <w:t xml:space="preserve">(2) Zu den Renten im Sinne des Absatzes 1 gehören auch die nach Artikel 2 § 38 Abs. 3 Satz 1 des Arbeiterrentenversicherungs-Neuregelungsgesetzes und Artikel 2 § 37 Abs. 3 Satz 1 des Angestelltenversicherungs-Neuregelungsgesetzes erhöhten Versichertenrenten von Berechtigten, die das 65. Lebensjahr im Jahre 1960 vollendet haben.</w:t>
      </w:r>
    </w:p>
    <w:p>
      <w:r>
        <w:t xml:space="preserve">(3) Absatz 1 findet auf den Knappschaftssold keine Anwendung.</w:t>
      </w:r>
    </w:p>
    <w:p>
      <w:r>
        <w:rPr>
          <w:color w:val="555555"/>
          <w:sz w:val="17"/>
        </w:rPr>
        <w:t xml:space="preserve">Zitiervorschlag: § 1 RAG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https://recht.nulegal.eu/gesetze/RAG%203/1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