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6 RAG 21</w:t>
      </w:r>
    </w:p>
    <w:p>
      <w:r>
        <w:rPr>
          <w:color w:val="555555"/>
          <w:sz w:val="18"/>
        </w:rPr>
        <w:t xml:space="preserve">Einundzwanzigstes Rentenanpassungsgesetz</w:t>
      </w:r>
    </w:p>
    <w:p>
      <w:r>
        <w:rPr>
          <w:color w:val="555555"/>
          <w:sz w:val="18"/>
        </w:rPr>
        <w:t xml:space="preserve">Stand: 10.06.2019 (konsolidierte Textfassung, kein amtliches Inkrafttretensdatum)</w:t>
      </w:r>
    </w:p>
    <w:p>
      <w:r>
        <w:t xml:space="preserve">(1) Bei Renten aus der Rentenversicherung der Arbeiter und der Angestellten, die nach § 4 dieses Artikels angepaßt werden, findet Artikel 2 § 34 des Arbeiterrentenversicherungs-Neuregelungsgesetzes oder Artikel 2 § 33 des Angestelltenversicherungs-Neuregelungsgesetzes unter Zugrundelegung der Werte nach § 3 Abs. 2 dieses Artikels Anwendung.</w:t>
      </w:r>
    </w:p>
    <w:p>
      <w:r>
        <w:t xml:space="preserve">(2) Versichertenrenten der knappschaftlichen Rentenversicherung ohne Kinderzuschuß und ohne Leistungszuschlag, die nach § 4 dieses Artikels angepaßt werden, dürfen die für den Versicherten maßgebende Rentenbemessungsgrundlage nicht überschreiten. Satz 1 gilt bei Hinterbliebenenrenten mit der Maßgabe, daß an die Stelle der für den Versicherten maßgebenden Rentenbemessungsgrundlage bei den Renten nach den §§ 64, 65 und 66 des Reichsknappschaftsgesetzes sechs Zehntel, bei Renten an Halbwaisen ein Zehntel und bei Renten an Vollwaisen ein Fünftel der für den Versicherten maßgebenden Rentenbemessungsgrundlage tritt.</w:t>
      </w:r>
    </w:p>
    <w:p>
      <w:r>
        <w:t xml:space="preserve">(3) Versichertenrenten ohne Kinderzuschuß und ohne Leistungszuschlag sowie Hinterbliebenenrenten aus Versicherungsfällen nach dem 31. Dezember 1956, die mit einer Rente aus der gesetzlichen Unfallversicherung zusammentreffen und nach § 4 dieses Artikels angepaßt werden, dürfen zusammen die in den §§ 1278 und 1279 der Reichsversicherungsordnung, §§ 55 und 56 des Angestelltenversicherungsgesetzes oder die in den §§ 75 und 76 des Reichsknappschaftsgesetzes genannten Grenzbeträge, die bei der Berechnung der Renten nach § 2 dieses Artikels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dieses Artikels angepaßt werden, dürfen zusammen die in den §§ 1278 und 1279 der Reichsversicherungsordnung oder die in den §§ 55 und 56 des Angestelltenversicherungsgesetzes genannten Grenzbeträge, die bei der Berechnung der Renten nach § 3 dieses Artikels zu berücksichtigen sind, nicht überschreiten.</w:t>
      </w:r>
    </w:p>
    <w:p>
      <w:r>
        <w:rPr>
          <w:color w:val="555555"/>
          <w:sz w:val="17"/>
        </w:rPr>
        <w:t xml:space="preserve">Zitiervorschlag: Art 1 § 6 RAG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