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 RAG 21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gesetzlichen Rentenversicherung werden aus Anlaß der Veränderung der allgemeinen Bemessungsgrundlage bis zum Jahre 1981 die Versicherten- und Hinterbliebenenrenten aus Versicherungsfällen, die</w:t>
      </w:r>
    </w:p>
    <w:p>
      <w:pPr>
        <w:ind w:left="420"/>
      </w:pPr>
      <w:r>
        <w:t xml:space="preserve">1. vor dem 1. Januar 1978 eingetreten sind, für Bezugszeiten vom 1. Januar 1979 an,</w:t>
      </w:r>
    </w:p>
    <w:p>
      <w:pPr>
        <w:ind w:left="420"/>
      </w:pPr>
      <w:r>
        <w:t xml:space="preserve">2. vor dem 1. Januar 1980 eingetreten sind, für Bezugszeiten vom 1. Januar 1980 an und</w:t>
      </w:r>
    </w:p>
    <w:p>
      <w:pPr>
        <w:ind w:left="420"/>
      </w:pPr>
      <w:r>
        <w:t xml:space="preserve">3. vor dem 1. Januar 1981 eingetreten sind, für Bezugszeiten vom 1. Januar 1981 an</w:t>
      </w:r>
    </w:p>
    <w:p>
      <w:r>
        <w:t xml:space="preserve">nach Maßgabe der §§ 2 bis 8 dieses Artikels angepaßt. Zu den Renten im Sinne des Satzes 1 Nr. 1 gehören auch die nach Artikel 2 § 38 Abs. 3 Satz 1 und 2 des Arbeiterrentenversicherungs-Neuregelungsgesetzes und Artikel 2 § 37 Abs. 3 Satz 1 und 2 des Angestelltenversicherungs-Neuregelungsgesetzes vom 1. Januar bis 31. Dezember 1978 erhöhten Renten.</w:t>
      </w:r>
    </w:p>
    <w:p>
      <w:r>
        <w:t xml:space="preserve">(2) Zu den Renten im Sinne des Absatzes 1 gehören die Knappschaftsausgleichsleistung nach § 98a des Reichsknappschaftsgesetzes und die Leistung nach den §§ 27 und 28 des Sozialversicherungs-Angleichungsgesetzes Saar in der im Bundesgesetzblatt Teil III, Gliederungsnummer 826-19, veröffentlichten bereinigten Fassung, zuletzt geändert durch § 10 Nr. 3 des Gesetzes vom 24. Juni 1975 (BGBl. I S. 1536).</w:t>
      </w:r>
    </w:p>
    <w:p>
      <w:r>
        <w:rPr>
          <w:color w:val="555555"/>
          <w:sz w:val="17"/>
        </w:rPr>
        <w:t xml:space="preserve">Zitiervorschlag: Art 1 § 1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https://recht.nulegal.eu/gesetze/RAG%2021/1-1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