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RAG 1991 — Sonstige Renten</w:t>
      </w:r>
    </w:p>
    <w:p>
      <w:r>
        <w:rPr>
          <w:color w:val="555555"/>
          <w:sz w:val="18"/>
        </w:rPr>
        <w:t xml:space="preserve">Rentenanpassungsgesetz 1991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Renten, die nicht nach § 2 Abs. 1 anzupassen sind, werden dadurch angepaßt, daß der sich für den Monat Juli 1991 ergebende anpassungsfähige Rentenbetrag um 4,7 vom Hundert erhöht wird.</w:t>
      </w:r>
    </w:p>
    <w:p>
      <w:r>
        <w:rPr>
          <w:color w:val="555555"/>
          <w:sz w:val="17"/>
        </w:rPr>
        <w:t xml:space="preserve">Zitiervorschlag: § 3 RAG 1991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https://recht.nulegal.eu/gesetze/RAG%201991/3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