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1991 — Formelrenten</w:t>
      </w:r>
    </w:p>
    <w:p>
      <w:r>
        <w:rPr>
          <w:color w:val="555555"/>
          <w:sz w:val="18"/>
        </w:rPr>
        <w:t xml:space="preserve">Rentenanpassungsgesetz 1991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den §§ 1253ff. der Reichsversicherungsordnung,</w:t>
      </w:r>
    </w:p>
    <w:p>
      <w:pPr>
        <w:ind w:left="420"/>
      </w:pPr>
      <w:r>
        <w:t xml:space="preserve">2. nach den §§ 30ff. des Angestelltenversicherungsgesetzes oder</w:t>
      </w:r>
    </w:p>
    <w:p>
      <w:pPr>
        <w:ind w:left="420"/>
      </w:pPr>
      <w:r>
        <w:t xml:space="preserve">3. nach den §§ 53ff. des Reichsknappschaftsgesetzes</w:t>
      </w:r>
    </w:p>
    <w:p>
      <w:r>
        <w:t xml:space="preserve">berechnet sind, werden dadurch angepaßt, daß die Höhe der Rente mit der allgemeinen Bemessungsgrundlage für das Jahr 1991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 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