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RAG 1990 — Formelrenten</w:t>
      </w:r>
    </w:p>
    <w:p>
      <w:r>
        <w:rPr>
          <w:color w:val="555555"/>
          <w:sz w:val="18"/>
        </w:rPr>
        <w:t xml:space="preserve">Rentenanpassungsgesetz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Renten, die</w:t>
      </w:r>
    </w:p>
    <w:p>
      <w:pPr>
        <w:ind w:left="420"/>
      </w:pPr>
      <w:r>
        <w:t xml:space="preserve">1. nach den §§ 1253ff. der Reichsversicherungsordnung,</w:t>
      </w:r>
    </w:p>
    <w:p>
      <w:pPr>
        <w:ind w:left="420"/>
      </w:pPr>
      <w:r>
        <w:t xml:space="preserve">2. nach den §§ 30ff. des Angestelltenversicherungsgesetzes oder</w:t>
      </w:r>
    </w:p>
    <w:p>
      <w:pPr>
        <w:ind w:left="420"/>
      </w:pPr>
      <w:r>
        <w:t xml:space="preserve">3. nach den §§ 53ff. des Reichsknappschaftsgesetzes</w:t>
      </w:r>
    </w:p>
    <w:p>
      <w:r>
        <w:t xml:space="preserve">berechnet sind, werden dadurch angepaßt, daß die Höhe der Rente mit der allgemeinen Bemessungsgrundlage für das Jahr 1990 ermittelt wird.</w:t>
      </w:r>
    </w:p>
    <w:p>
      <w:r>
        <w:t xml:space="preserve">(2) Eine Rente, deren Höhe sich nicht nur nach den allgemeinen in Absatz 1 genannten Vorschriften ergibt, sondern auf einer voraufgegangenen Rente beruht oder infolge eines Versorgungsausgleichs oder aufgrund über- und zwischenstaatlichen Rechts geändert ist, wird nach § 3 angepaßt. Eine Rente, die nach Artikel 2 § 24 Abs. 5 des Knappschaftsrentenversicherungs-Neuregelungsgesetzes gezahlt wird, wird nach Absatz 1 angepaßt.</w:t>
      </w:r>
    </w:p>
    <w:p>
      <w:r>
        <w:rPr>
          <w:color w:val="555555"/>
          <w:sz w:val="17"/>
        </w:rPr>
        <w:t xml:space="preserve">Zitiervorschlag: § 2 RAG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https://recht.nulegal.eu/gesetze/RAG%201990/2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