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1989 — Allgemeine Bemessungsgrundlage</w:t>
      </w:r>
    </w:p>
    <w:p>
      <w:r>
        <w:rPr>
          <w:color w:val="555555"/>
          <w:sz w:val="18"/>
        </w:rPr>
        <w:t xml:space="preserve">Rentenanpassungsgesetz 1989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1989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30.709 Deutsche Mark</w:t>
      </w:r>
    </w:p>
    <w:p>
      <w:r>
        <w:rPr>
          <w:rFonts w:ascii="Courier New" w:hAnsi="Courier New"/>
          <w:sz w:val="17"/>
        </w:rPr>
        <w:t xml:space="preserve">und in der knappschaftlichen Rentenversicherung    31.033 Deutsche Mark.</w:t>
      </w:r>
    </w:p>
    <w:p>
      <w:r>
        <w:rPr>
          <w:color w:val="555555"/>
          <w:sz w:val="17"/>
        </w:rPr>
        <w:t xml:space="preserve">Zitiervorschlag: § 5 RAG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